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733" w:rightChars="-349" w:firstLine="0" w:firstLineChars="0"/>
        <w:textAlignment w:val="auto"/>
        <w:outlineLvl w:val="9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 w:leftChars="-199" w:right="-733" w:rightChars="-349" w:hanging="420" w:hangingChars="95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贵州省红十字会备灾救助服务中心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 w:leftChars="-199" w:right="-733" w:rightChars="-349" w:hanging="420" w:hangingChars="95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仓库维修改造项目</w:t>
      </w:r>
      <w:r>
        <w:rPr>
          <w:rFonts w:hint="eastAsia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 w:leftChars="-199" w:right="-733" w:rightChars="-349" w:hanging="420" w:hangingChars="95"/>
        <w:jc w:val="center"/>
        <w:textAlignment w:val="auto"/>
        <w:outlineLvl w:val="9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致：贵州省红十字会备灾救助服务中心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</w:rPr>
        <w:t>了解贵中心《贵州省红十字会备灾救助服务中心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仓库维修改造项目</w:t>
      </w:r>
      <w:r>
        <w:rPr>
          <w:rFonts w:hint="eastAsia" w:ascii="仿宋" w:hAnsi="仿宋" w:eastAsia="仿宋" w:cs="仿宋"/>
          <w:sz w:val="32"/>
          <w:szCs w:val="32"/>
        </w:rPr>
        <w:t>询价函》的全部内容，现向贵中心就贵州省红十字会备灾救助服务中心所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</w:rPr>
        <w:t>的标的物作出如下报价：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outlineLvl w:val="9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一、投标报价表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25"/>
        <w:gridCol w:w="1268"/>
        <w:gridCol w:w="2354"/>
        <w:gridCol w:w="1079"/>
      </w:tblGrid>
      <w:tr>
        <w:trPr>
          <w:trHeight w:val="1313" w:hRule="atLeast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投标项目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投标报价单价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（元）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数量（个）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投标报价总价（元）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rPr>
          <w:trHeight w:val="1013" w:hRule="atLeast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rPr>
          <w:trHeight w:val="1123" w:hRule="atLeast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注：需附详细报价清单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本公司的报价函一旦为贵中心认可，该报价即为合同价；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本公司报价函一经发出，即不可撤回，否则我方愿意接受贵中心的处罚；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本公司一旦成为本项目的签约方，同意将本报价函作为合同的组成部分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电话（手机）：</w:t>
      </w:r>
      <w:r>
        <w:rPr>
          <w:rFonts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投标代表：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2443480</wp:posOffset>
              </wp:positionH>
              <wp:positionV relativeFrom="paragraph">
                <wp:posOffset>-76200</wp:posOffset>
              </wp:positionV>
              <wp:extent cx="1828800" cy="280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92.4pt;margin-top:-6pt;height:22.05pt;width:144pt;mso-position-horizontal-relative:margin;mso-wrap-style:none;z-index:251660288;mso-width-relative:page;mso-height-relative:page;" filled="f" stroked="f" coordsize="21600,21600" o:gfxdata="UEsDBAoAAAAAAIdO4kAAAAAAAAAAAAAAAAAEAAAAZHJzL1BLAwQUAAAACACHTuJADPc+4dkAAAAK&#10;AQAADwAAAGRycy9kb3ducmV2LnhtbE2PzU7DMBCE70i8g7VI3FonoZQqxKkQEr1waviRuG1jN4mw&#10;15HtNoGnZznBcWdGs99U29lZcTYhDp4U5MsMhKHW64E6Ba8vT4sNiJiQNFpPRsGXibCtLy8qLLWf&#10;aG/OTeoEl1AsUUGf0lhKGdveOIxLPxpi7+iDw8Rn6KQOOHG5s7LIsrV0OBB/6HE0j71pP5uTU7Cb&#10;v99Xz+Ej2Qb37e2be+iOu0mp66s8uweRzJz+wvCLz+hQM9PBn0hHYRXcbFaMnhQs8oJHcWJ9V7By&#10;YKvIQdaV/D+h/gFQSwMEFAAAAAgAh07iQIQLrtOtAQAAOQMAAA4AAABkcnMvZTJvRG9jLnhtbK1S&#10;zWobMRC+B/oOQvd61xsSzGI5EEJKoTSFJA8gayWvQH+MFO/6Bdo3yKmX3PNcfo6MZK9T2lvJRRrN&#10;jL6Z75tZXo3WkK2EqL1jdD6rKZFO+E67DaOPD7efF5TExF3HjXeS0Z2M9Gr16Ww5hFY2vvemk0AQ&#10;xMV2CIz2KYW2qqLopeVx5oN0GFQeLE/4hE3VAR8Q3ZqqqevLavDQBfBCxojem0OQrgq+UlKkO6Wi&#10;TMQwir2lckI51/msVkveboCHXotjG/w/urBcOyx6grrhiZMn0P9AWS3AR6/STHhbeaW0kIUDspnX&#10;f7G573mQhQuKE8NJpvhxsOL79gcQ3THaUOK4xRHtn3/tf7/uX36SeZZnCLHFrPuAeWm89iOOefJH&#10;dGbWowKbb+RDMI5C707iyjERkT8tmsWixpDAWIPW+UWGqd5/B4jpi/SWZINRwOEVTfn2W0yH1Ckl&#10;F3P+VhtTBmgcGRi9PL+oy4dTBMGNwxqZw6HXbKVxPR6JrX23Q14DLgCjDjeUEvPVob55VyYDJmM9&#10;GU8B9KbHHosSBR7nU8gcdykvwJ/v0sT7xq/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z3PuHZ&#10;AAAACgEAAA8AAAAAAAAAAQAgAAAAIgAAAGRycy9kb3ducmV2LnhtbFBLAQIUABQAAAAIAIdO4kCE&#10;C67TrQEAADkDAAAOAAAAAAAAAAEAIAAAACgBAABkcnMvZTJvRG9jLnhtbFBLBQYAAAAABgAGAFkB&#10;AABHBQA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t>- 1 -</w:t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170</Words>
  <Characters>970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2017-09-08T18:19:00Z</dcterms:created>
  <dc:creator>Ellen</dc:creator>
  <cp:lastModifiedBy>“momo”的 iPad</cp:lastModifiedBy>
  <cp:lastPrinted>2019-06-10T22:20:01Z</cp:lastPrinted>
  <dcterms:modified xsi:type="dcterms:W3CDTF">2019-07-23T15:18:03Z</dcterms:modified>
  <dc:title>贵州省红十字会备灾救助服务中心文件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